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9D0" w:rsidRDefault="00CC19D0" w:rsidP="00FF788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hu-HU" w:bidi="ar-SA"/>
        </w:rPr>
        <w:drawing>
          <wp:inline distT="0" distB="0" distL="0" distR="0">
            <wp:extent cx="1036955" cy="2569210"/>
            <wp:effectExtent l="1905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256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88F" w:rsidRPr="00815386" w:rsidRDefault="00FF788F" w:rsidP="00FF788F">
      <w:pPr>
        <w:spacing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15386">
        <w:rPr>
          <w:rFonts w:ascii="Times New Roman" w:hAnsi="Times New Roman"/>
          <w:sz w:val="24"/>
          <w:szCs w:val="24"/>
        </w:rPr>
        <w:t xml:space="preserve">Sajnos, ezekről a táblákról kevesek tudják, pontosan milyen előírást jelentenek. Talán nem fölösleges idézni a KRESZ-t: 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/>
        <w:jc w:val="both"/>
        <w:rPr>
          <w:i/>
          <w:color w:val="222222"/>
        </w:rPr>
      </w:pPr>
      <w:r w:rsidRPr="00815386">
        <w:rPr>
          <w:b/>
          <w:bCs/>
          <w:i/>
          <w:color w:val="222222"/>
        </w:rPr>
        <w:t>Közlekedés lakó-pihenő övezetben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0" w:name="39/A"/>
      <w:bookmarkStart w:id="1" w:name="pr1157"/>
      <w:bookmarkEnd w:id="0"/>
      <w:bookmarkEnd w:id="1"/>
      <w:r w:rsidRPr="00815386">
        <w:rPr>
          <w:b/>
          <w:bCs/>
          <w:i/>
          <w:color w:val="222222"/>
        </w:rPr>
        <w:t>39/</w:t>
      </w:r>
      <w:proofErr w:type="gramStart"/>
      <w:r w:rsidRPr="00815386">
        <w:rPr>
          <w:b/>
          <w:bCs/>
          <w:i/>
          <w:color w:val="222222"/>
        </w:rPr>
        <w:t>A.</w:t>
      </w:r>
      <w:proofErr w:type="gramEnd"/>
      <w:r w:rsidRPr="00815386">
        <w:rPr>
          <w:b/>
          <w:bCs/>
          <w:i/>
          <w:color w:val="222222"/>
        </w:rPr>
        <w:t xml:space="preserve"> §</w:t>
      </w:r>
      <w:r w:rsidRPr="00815386">
        <w:rPr>
          <w:i/>
          <w:color w:val="222222"/>
        </w:rPr>
        <w:t>(1)Lakó-pihenő övezetbe</w:t>
      </w:r>
      <w:r>
        <w:rPr>
          <w:i/>
          <w:color w:val="222222"/>
        </w:rPr>
        <w:t xml:space="preserve"> ̶ </w:t>
      </w:r>
      <w:r w:rsidRPr="00815386">
        <w:rPr>
          <w:i/>
          <w:color w:val="222222"/>
        </w:rPr>
        <w:t xml:space="preserve"> a „Lakó-pihenő övezet</w:t>
      </w:r>
      <w:r>
        <w:rPr>
          <w:i/>
          <w:color w:val="222222"/>
        </w:rPr>
        <w:t>”</w:t>
      </w:r>
      <w:r w:rsidRPr="00815386">
        <w:rPr>
          <w:i/>
          <w:color w:val="222222"/>
        </w:rPr>
        <w:t xml:space="preserve"> jelzőtáblától a </w:t>
      </w:r>
      <w:r>
        <w:rPr>
          <w:i/>
          <w:color w:val="222222"/>
        </w:rPr>
        <w:t>„</w:t>
      </w:r>
      <w:r w:rsidRPr="00815386">
        <w:rPr>
          <w:i/>
          <w:color w:val="222222"/>
        </w:rPr>
        <w:t>Lakó-pihenő övezet vége</w:t>
      </w:r>
      <w:proofErr w:type="gramStart"/>
      <w:r>
        <w:rPr>
          <w:i/>
          <w:color w:val="222222"/>
        </w:rPr>
        <w:t xml:space="preserve">” </w:t>
      </w:r>
      <w:r w:rsidRPr="00815386">
        <w:rPr>
          <w:i/>
          <w:color w:val="222222"/>
        </w:rPr>
        <w:t>jelzőtábláig</w:t>
      </w:r>
      <w:proofErr w:type="gramEnd"/>
      <w:r w:rsidRPr="00815386">
        <w:rPr>
          <w:i/>
          <w:color w:val="222222"/>
        </w:rPr>
        <w:t xml:space="preserve"> terjedő területre</w:t>
      </w:r>
      <w:r>
        <w:rPr>
          <w:i/>
          <w:color w:val="222222"/>
        </w:rPr>
        <w:t xml:space="preserve"> ̶ </w:t>
      </w:r>
      <w:r w:rsidRPr="00815386">
        <w:rPr>
          <w:i/>
          <w:color w:val="222222"/>
        </w:rPr>
        <w:t xml:space="preserve"> csak a következő járművek hajthatnak be: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2" w:name="pr1158"/>
      <w:bookmarkEnd w:id="2"/>
      <w:proofErr w:type="gramStart"/>
      <w:r w:rsidRPr="00815386">
        <w:rPr>
          <w:i/>
          <w:iCs/>
          <w:color w:val="222222"/>
        </w:rPr>
        <w:t>a</w:t>
      </w:r>
      <w:proofErr w:type="gramEnd"/>
      <w:r w:rsidRPr="00815386">
        <w:rPr>
          <w:i/>
          <w:iCs/>
          <w:color w:val="222222"/>
        </w:rPr>
        <w:t xml:space="preserve">) </w:t>
      </w:r>
      <w:r w:rsidRPr="00815386">
        <w:rPr>
          <w:i/>
          <w:color w:val="222222"/>
        </w:rPr>
        <w:t>kerékpár,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3" w:name="pr1159"/>
      <w:bookmarkEnd w:id="3"/>
      <w:r w:rsidRPr="00815386">
        <w:rPr>
          <w:i/>
          <w:iCs/>
          <w:color w:val="222222"/>
        </w:rPr>
        <w:t xml:space="preserve">b) </w:t>
      </w:r>
      <w:r w:rsidRPr="00FF788F">
        <w:rPr>
          <w:i/>
          <w:color w:val="222222"/>
          <w:u w:val="single"/>
        </w:rPr>
        <w:t>az ott lakókat vagy az oda látogatókat szállító személygépkocsi</w:t>
      </w:r>
      <w:r w:rsidRPr="00815386">
        <w:rPr>
          <w:i/>
          <w:color w:val="222222"/>
        </w:rPr>
        <w:t>, a személygépkocsi kivételével a legfeljebb 3500 kg megengedett legnagyobb össztömegű gépkocsi, a betegszállító gépjármű, motorkerékpár, a motoros tricikli és ezekhez kapcsolt pótkocsi, segédmotoros kerékpár, állati erővel vont jármű és kézikocsi, a kommunális szemét szállítására szolgáló jármű, továbbá az oda áruszállítást végző legfeljebb 3500 kg megengedett legnagyobb össztömegű tehergépkocsi,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4" w:name="pr1160"/>
      <w:bookmarkEnd w:id="4"/>
      <w:r w:rsidRPr="00815386">
        <w:rPr>
          <w:i/>
          <w:iCs/>
          <w:color w:val="222222"/>
        </w:rPr>
        <w:t>c)</w:t>
      </w:r>
      <w:r>
        <w:rPr>
          <w:i/>
          <w:iCs/>
          <w:color w:val="222222"/>
        </w:rPr>
        <w:t xml:space="preserve"> </w:t>
      </w:r>
      <w:r w:rsidRPr="00815386">
        <w:rPr>
          <w:i/>
          <w:color w:val="222222"/>
        </w:rPr>
        <w:t>az ott lakók és oda költözők költöztetését végző tehergépkocsi,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5" w:name="pr1161"/>
      <w:bookmarkEnd w:id="5"/>
      <w:r w:rsidRPr="00815386">
        <w:rPr>
          <w:i/>
          <w:iCs/>
          <w:color w:val="222222"/>
        </w:rPr>
        <w:t xml:space="preserve">d) </w:t>
      </w:r>
      <w:r w:rsidRPr="00815386">
        <w:rPr>
          <w:i/>
          <w:color w:val="222222"/>
        </w:rPr>
        <w:t>az oda látogatókat szállító autóbusz,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6" w:name="pr1162"/>
      <w:bookmarkEnd w:id="6"/>
      <w:proofErr w:type="gramStart"/>
      <w:r w:rsidRPr="00815386">
        <w:rPr>
          <w:i/>
          <w:iCs/>
          <w:color w:val="222222"/>
        </w:rPr>
        <w:t>e</w:t>
      </w:r>
      <w:proofErr w:type="gramEnd"/>
      <w:r w:rsidRPr="00815386">
        <w:rPr>
          <w:i/>
          <w:iCs/>
          <w:color w:val="222222"/>
        </w:rPr>
        <w:t>)</w:t>
      </w:r>
      <w:r>
        <w:rPr>
          <w:i/>
          <w:iCs/>
          <w:color w:val="222222"/>
        </w:rPr>
        <w:t xml:space="preserve"> </w:t>
      </w:r>
      <w:r w:rsidRPr="00815386">
        <w:rPr>
          <w:i/>
          <w:color w:val="222222"/>
        </w:rPr>
        <w:t>az oda építő- és tüzelőanyagot szállító tehergépkocsi és hozzákapcsolt pótkocsi,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7" w:name="pr1163"/>
      <w:bookmarkEnd w:id="7"/>
      <w:proofErr w:type="gramStart"/>
      <w:r w:rsidRPr="00815386">
        <w:rPr>
          <w:i/>
          <w:iCs/>
          <w:color w:val="222222"/>
        </w:rPr>
        <w:t>f</w:t>
      </w:r>
      <w:proofErr w:type="gramEnd"/>
      <w:r w:rsidRPr="00815386">
        <w:rPr>
          <w:i/>
          <w:iCs/>
          <w:color w:val="222222"/>
        </w:rPr>
        <w:t>)</w:t>
      </w:r>
      <w:r>
        <w:rPr>
          <w:i/>
          <w:iCs/>
          <w:color w:val="222222"/>
        </w:rPr>
        <w:t xml:space="preserve"> </w:t>
      </w:r>
      <w:r w:rsidRPr="00815386">
        <w:rPr>
          <w:i/>
          <w:color w:val="222222"/>
        </w:rPr>
        <w:t>az út- és közmű építésére vagy fenntartására, köztisztasági, rendvédelmi, betegszállítási, közegészségügyi feladat, illetőleg postai gyűjtő- és kézbesítő szolgálat ellátására szolgáló jármű, ha ez feladata ellátása érdekében elkerülhetetlen,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8" w:name="pr1164"/>
      <w:bookmarkEnd w:id="8"/>
      <w:proofErr w:type="gramStart"/>
      <w:r w:rsidRPr="00815386">
        <w:rPr>
          <w:i/>
          <w:iCs/>
          <w:color w:val="222222"/>
        </w:rPr>
        <w:t>g</w:t>
      </w:r>
      <w:proofErr w:type="gramEnd"/>
      <w:r w:rsidRPr="00815386">
        <w:rPr>
          <w:i/>
          <w:iCs/>
          <w:color w:val="222222"/>
        </w:rPr>
        <w:t>)</w:t>
      </w:r>
      <w:r w:rsidRPr="00815386">
        <w:rPr>
          <w:i/>
          <w:color w:val="222222"/>
        </w:rPr>
        <w:t xml:space="preserve"> a mozgáskorlátozott személy által vezetett vagy az őt szállító jármű és annak vezetője.</w:t>
      </w:r>
    </w:p>
    <w:p w:rsidR="00FF788F" w:rsidRPr="00FF788F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  <w:u w:val="single"/>
        </w:rPr>
      </w:pPr>
      <w:bookmarkStart w:id="9" w:name="pr1165"/>
      <w:bookmarkEnd w:id="9"/>
      <w:r w:rsidRPr="00FF788F">
        <w:rPr>
          <w:i/>
          <w:color w:val="222222"/>
          <w:u w:val="single"/>
        </w:rPr>
        <w:t>(2) A lakó-pihenő övezetben járművel legfeljebb 20 km/óra sebességgel szabad közlekedni.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10" w:name="pr1166"/>
      <w:bookmarkEnd w:id="10"/>
      <w:r w:rsidRPr="00815386">
        <w:rPr>
          <w:i/>
          <w:color w:val="222222"/>
        </w:rPr>
        <w:t>(3) A lakó-pihenő övezetben a vezetőnek fokozottan ügyelnie kell a gyalogosok (különösen a gyermekek) és a kerékpárosok biztonságára. Ha az úton járda nincs,</w:t>
      </w:r>
    </w:p>
    <w:p w:rsidR="00FF788F" w:rsidRPr="00815386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i/>
          <w:color w:val="222222"/>
        </w:rPr>
      </w:pPr>
      <w:bookmarkStart w:id="11" w:name="pr1167"/>
      <w:bookmarkEnd w:id="11"/>
      <w:proofErr w:type="gramStart"/>
      <w:r w:rsidRPr="00815386">
        <w:rPr>
          <w:i/>
          <w:iCs/>
          <w:color w:val="222222"/>
        </w:rPr>
        <w:lastRenderedPageBreak/>
        <w:t>a</w:t>
      </w:r>
      <w:proofErr w:type="gramEnd"/>
      <w:r w:rsidRPr="00815386">
        <w:rPr>
          <w:i/>
          <w:iCs/>
          <w:color w:val="222222"/>
        </w:rPr>
        <w:t xml:space="preserve">) </w:t>
      </w:r>
      <w:r w:rsidRPr="00815386">
        <w:rPr>
          <w:i/>
          <w:color w:val="222222"/>
        </w:rPr>
        <w:t>a gyalogosok az utat teljes szélességében használhatják, a járművek forgalmát azonban szükségtelenül nem akadályozhatják,</w:t>
      </w:r>
    </w:p>
    <w:p w:rsidR="00FF788F" w:rsidRDefault="00FF788F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color w:val="222222"/>
        </w:rPr>
      </w:pPr>
      <w:bookmarkStart w:id="12" w:name="pr1168"/>
      <w:bookmarkEnd w:id="12"/>
      <w:r w:rsidRPr="00815386">
        <w:rPr>
          <w:i/>
          <w:iCs/>
          <w:color w:val="222222"/>
        </w:rPr>
        <w:t xml:space="preserve">b) </w:t>
      </w:r>
      <w:r w:rsidRPr="00815386">
        <w:rPr>
          <w:i/>
          <w:color w:val="222222"/>
        </w:rPr>
        <w:t>járművel várakozni csak az erre kijelölt területen szabad</w:t>
      </w:r>
      <w:r w:rsidRPr="00815386">
        <w:rPr>
          <w:color w:val="222222"/>
        </w:rPr>
        <w:t>.</w:t>
      </w:r>
    </w:p>
    <w:p w:rsidR="00C63D75" w:rsidRPr="00815386" w:rsidRDefault="00C63D75" w:rsidP="00FF788F">
      <w:pPr>
        <w:pStyle w:val="NormlWeb"/>
        <w:shd w:val="clear" w:color="auto" w:fill="FFFFFF"/>
        <w:spacing w:after="0" w:afterAutospacing="0"/>
        <w:ind w:left="150" w:right="150" w:firstLine="240"/>
        <w:jc w:val="both"/>
        <w:rPr>
          <w:color w:val="222222"/>
        </w:rPr>
      </w:pPr>
    </w:p>
    <w:p w:rsidR="00587631" w:rsidRDefault="00C63D75" w:rsidP="00FF788F">
      <w:pPr>
        <w:spacing w:line="240" w:lineRule="auto"/>
      </w:pPr>
      <w:r>
        <w:rPr>
          <w:noProof/>
          <w:lang w:eastAsia="hu-HU" w:bidi="ar-SA"/>
        </w:rPr>
        <w:drawing>
          <wp:inline distT="0" distB="0" distL="0" distR="0">
            <wp:extent cx="5760720" cy="3833015"/>
            <wp:effectExtent l="19050" t="0" r="0" b="0"/>
            <wp:docPr id="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3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7631" w:rsidSect="005876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FF788F"/>
    <w:rsid w:val="004F1A3B"/>
    <w:rsid w:val="00506C61"/>
    <w:rsid w:val="00587631"/>
    <w:rsid w:val="00C63D75"/>
    <w:rsid w:val="00CC19D0"/>
    <w:rsid w:val="00D35D13"/>
    <w:rsid w:val="00E56537"/>
    <w:rsid w:val="00FF7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788F"/>
    <w:pPr>
      <w:spacing w:after="0"/>
    </w:pPr>
    <w:rPr>
      <w:rFonts w:ascii="Calibri" w:eastAsia="Calibri" w:hAnsi="Calibri" w:cs="Times New Roman"/>
      <w:lang w:bidi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link w:val="NormlWebChar"/>
    <w:uiPriority w:val="99"/>
    <w:unhideWhenUsed/>
    <w:rsid w:val="00FF78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 w:bidi="ar-SA"/>
    </w:rPr>
  </w:style>
  <w:style w:type="character" w:customStyle="1" w:styleId="NormlWebChar">
    <w:name w:val="Normál (Web) Char"/>
    <w:basedOn w:val="Bekezdsalapbettpusa"/>
    <w:link w:val="NormlWeb"/>
    <w:uiPriority w:val="99"/>
    <w:rsid w:val="00FF788F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C19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C19D0"/>
    <w:rPr>
      <w:rFonts w:ascii="Tahoma" w:eastAsia="Calibri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224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Sandor</dc:creator>
  <cp:lastModifiedBy>Sandor</cp:lastModifiedBy>
  <cp:revision>4</cp:revision>
  <dcterms:created xsi:type="dcterms:W3CDTF">2019-07-28T13:54:00Z</dcterms:created>
  <dcterms:modified xsi:type="dcterms:W3CDTF">2019-08-08T17:40:00Z</dcterms:modified>
</cp:coreProperties>
</file>